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C3" w:rsidRPr="00D036C3" w:rsidRDefault="00D036C3" w:rsidP="00D036C3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</w:pPr>
      <w:bookmarkStart w:id="0" w:name="_GoBack"/>
      <w:r w:rsidRPr="00D036C3">
        <w:rPr>
          <w:rFonts w:ascii="Arial" w:eastAsia="Times New Roman" w:hAnsi="Arial" w:cs="Times New Roman"/>
          <w:color w:val="000000" w:themeColor="text1"/>
          <w:kern w:val="36"/>
          <w:sz w:val="36"/>
          <w:szCs w:val="36"/>
          <w:lang w:eastAsia="ru-RU"/>
        </w:rPr>
        <w:t>Публичные мероприятия</w:t>
      </w:r>
    </w:p>
    <w:p w:rsidR="00D036C3" w:rsidRPr="00D036C3" w:rsidRDefault="00D036C3" w:rsidP="00D036C3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</w:pPr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Публичное мероприятие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объединений. Целью публичного мероприятия является свободное выражение и формирование мнений, а также выдвижение требований по различным вопросам политической, экономической, социальной и культурной жизни страны и вопросам внешней политики</w:t>
      </w:r>
      <w:proofErr w:type="gramStart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.</w:t>
      </w:r>
      <w:proofErr w:type="gramEnd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• </w:t>
      </w:r>
      <w:proofErr w:type="gramStart"/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с</w:t>
      </w:r>
      <w:proofErr w:type="gramEnd"/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обрание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• </w:t>
      </w:r>
      <w:proofErr w:type="gramStart"/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митинг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• </w:t>
      </w:r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демонстрация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организованное публичное выражение общественных настроений группой граждан с использованием во время передвижения плакатов, транспарантов и иных средств наглядной агитации;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• </w:t>
      </w:r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шествие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массовое прохождение граждан по заранее определенному маршруту в целях привлечения внимания к каким-либо проблемам;</w:t>
      </w:r>
      <w:proofErr w:type="gramEnd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• </w:t>
      </w:r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пикетирование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 – форма публичного выражения мнений,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агитации.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proofErr w:type="gramStart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Уведомление о проведении публичного мероприятия (за исключением публичного мероприятия, проводимого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орган исполнительной власти субъекта Российской Федерации или орган</w:t>
      </w:r>
      <w:proofErr w:type="gramEnd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местного самоуправления в срок не ранее 15 и не позднее 10 дней до дня проведения публичного мероприятия. </w:t>
      </w:r>
      <w:proofErr w:type="gramStart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 мероприятия.</w:t>
      </w:r>
      <w:proofErr w:type="gramEnd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</w:t>
      </w:r>
      <w:proofErr w:type="gramStart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днями), – не позднее четырех дней до</w:t>
      </w:r>
      <w:proofErr w:type="gramEnd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праздничным дням.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Ответственный за прием и регистрацию уведомлений </w:t>
      </w:r>
      <w:r w:rsidRPr="00D036C3">
        <w:rPr>
          <w:rFonts w:ascii="Arial" w:eastAsia="Times New Roman" w:hAnsi="Arial" w:cs="Times New Roman"/>
          <w:b/>
          <w:bCs/>
          <w:color w:val="000000" w:themeColor="text1"/>
          <w:sz w:val="21"/>
          <w:szCs w:val="21"/>
          <w:lang w:eastAsia="ru-RU"/>
        </w:rPr>
        <w:t>делопроизводитель сектора организационной деятельности администрации сельского поселения Полноват, тел. 33-347.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lastRenderedPageBreak/>
        <w:br/>
        <w:t xml:space="preserve">Телефон для получения консультации по вопросам организации и проведения публичного мероприятия: 8 (34670) 33-458, </w:t>
      </w:r>
      <w:proofErr w:type="spellStart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Уразов</w:t>
      </w:r>
      <w:proofErr w:type="spellEnd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 xml:space="preserve"> Евгений </w:t>
      </w:r>
      <w:proofErr w:type="spellStart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Умарович</w:t>
      </w:r>
      <w:proofErr w:type="spellEnd"/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t>, заместитель главы муниципального образования, заведующий сектором муниципального хозяйства администрации сельского поселения Полноват.</w:t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</w:r>
      <w:r w:rsidRPr="00D036C3">
        <w:rPr>
          <w:rFonts w:ascii="Arial" w:eastAsia="Times New Roman" w:hAnsi="Arial" w:cs="Times New Roman"/>
          <w:color w:val="000000" w:themeColor="text1"/>
          <w:sz w:val="21"/>
          <w:szCs w:val="21"/>
          <w:lang w:eastAsia="ru-RU"/>
        </w:rPr>
        <w:br/>
        <w:t>Порядок организации и проведения публичных мероприятий устанавливается Федеральным законом от 19 июня 2004 года № 54-ФЗ “О собраниях, митингах, демонстрациях, шествиях и пикетированиях” (текст закона приводится в прилагаемом файле).</w:t>
      </w:r>
    </w:p>
    <w:bookmarkEnd w:id="0"/>
    <w:p w:rsidR="00084963" w:rsidRPr="00D036C3" w:rsidRDefault="00084963">
      <w:pPr>
        <w:rPr>
          <w:color w:val="000000" w:themeColor="text1"/>
        </w:rPr>
      </w:pPr>
    </w:p>
    <w:sectPr w:rsidR="00084963" w:rsidRPr="00D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63"/>
    <w:rsid w:val="00084963"/>
    <w:rsid w:val="00D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36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3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2022-11-23T12:12:00Z</dcterms:created>
  <dcterms:modified xsi:type="dcterms:W3CDTF">2022-11-23T12:12:00Z</dcterms:modified>
</cp:coreProperties>
</file>