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30" w:rsidRPr="00783330" w:rsidRDefault="00783330" w:rsidP="00783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Актуальная редакция</w:t>
      </w:r>
    </w:p>
    <w:p w:rsidR="00783330" w:rsidRDefault="00783330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985" cy="88773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3F4F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393F4F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393F4F" w:rsidRPr="00393F4F" w:rsidRDefault="00393F4F" w:rsidP="00393F4F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3F4F">
        <w:rPr>
          <w:rFonts w:ascii="Times New Roman" w:eastAsia="Times New Roman" w:hAnsi="Times New Roman" w:cs="Times New Roman"/>
          <w:lang w:eastAsia="ru-RU"/>
        </w:rPr>
        <w:t>БЕЛОЯРСКИЙ РАЙОН</w:t>
      </w:r>
    </w:p>
    <w:p w:rsidR="00393F4F" w:rsidRPr="00393F4F" w:rsidRDefault="00393F4F" w:rsidP="00393F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F4F" w:rsidRPr="00393F4F" w:rsidRDefault="00393F4F" w:rsidP="00393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F4F" w:rsidRPr="00393F4F" w:rsidRDefault="00393F4F" w:rsidP="0039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93F4F" w:rsidRPr="00393F4F" w:rsidRDefault="00393F4F" w:rsidP="00393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3F4F" w:rsidRPr="00393F4F" w:rsidRDefault="00393F4F" w:rsidP="0039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октября 2011 года                                                                                                          № 73</w:t>
      </w:r>
    </w:p>
    <w:p w:rsidR="00393F4F" w:rsidRPr="00393F4F" w:rsidRDefault="00393F4F" w:rsidP="00393F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bookmarkEnd w:id="0"/>
    <w:p w:rsidR="00783330" w:rsidRPr="00783330" w:rsidRDefault="00783330" w:rsidP="0078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 изменениями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23 августа 2013</w:t>
      </w: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76</w:t>
      </w: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12 августа 2015</w:t>
      </w: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года № </w:t>
      </w:r>
      <w:r w:rsidR="008A17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135</w:t>
      </w: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8A17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от 25 июня 2019 года № 45</w:t>
      </w:r>
      <w:r w:rsidRPr="007833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Российской Федерации от 06 октября   2003 года </w:t>
      </w:r>
      <w:hyperlink r:id="rId6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от 06 марта 2006 года № 35-ФЗ  «О противодействии терроризму», </w:t>
      </w:r>
      <w:hyperlink r:id="rId7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Ханты-Мансийского автономного округа – Югры от 17 ноября 2010 года № 217 «Об антитеррористической комиссии Ханты-Мансийского автономного округа – Югры» </w:t>
      </w:r>
      <w:proofErr w:type="gramStart"/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Утвердить:  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8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hyperlink r:id="rId9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комиссии сельского поселения Полноват согласно приложению 2.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93F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0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комиссии сельского поселения Полноват согласно приложению 3.</w:t>
      </w:r>
      <w:r w:rsidRPr="00393F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руководствоваться </w:t>
      </w:r>
      <w:hyperlink r:id="rId11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антитеррористической комиссии сельского поселения Полноват, </w:t>
      </w:r>
      <w:hyperlink r:id="rId12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комиссии сельского поселения Полноват.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34F20" w:rsidRPr="00B3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4F20" w:rsidRPr="00B3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Е.У. Уразова.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газете «Белоярские вести».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B34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8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Л.А.</w:t>
      </w:r>
      <w:r w:rsidR="0078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октября 2011 года № 73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B34F20" w:rsidP="00393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proofErr w:type="gramStart"/>
        <w:r w:rsidR="00393F4F" w:rsidRPr="00393F4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</w:t>
        </w:r>
        <w:proofErr w:type="gramEnd"/>
      </w:hyperlink>
      <w:r w:rsidR="00393F4F"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 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Антитеррористическая комиссия сельского поселения Полноват (далее – АТК) является органом, осуществляющим координацию деятельности на территории сельского поселения Полноват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в сфере профилактики терроризма, а также минимизации и ликвидации последствий его проявлений. 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 в своей деятельности руководствуется </w:t>
      </w:r>
      <w:hyperlink r:id="rId14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Ханты-Мансийского автономного округа - Югры, решениями Национального антитеррористического комитета, нормативными правовыми актами муниципального образования, решениями Антитеррористической комиссии Ханты-Мансийского автономного округа - Югры, Белоярского района, а также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Руководителем АТК по должности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высшее должностное лицо органов местного самоуправления сельского поселения 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сельского поселения Полноват -  председатель АТК).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АТК осуществляет свою деятельность во взаимодействии с антитеррористической комиссией Ханты-Мансийского автономного округа – Югры,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Белоярского района, организациями и общественными объединениями, расположенными на территории сельского поселения Полноват.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АТК (по должностям) определяется председателем АТК. В АТК могут быть включены руководители, представители подразделений территориальных органов федеральных органов исполнительной власти, представители исполнительных органов государственной власти Ханты-Мансийского автономного округа – Югры, Белоярского района (по согласованию).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Основными задачами АТК являются: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участие в реализации на территории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в области противодействия терроризму, а также подготовка предложений антитеррористической комиссии Ханты-Мансийского автономного округа – Югры, Белоярского района по совершенствованию законодательства автономного округа в данной сфере;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взаимодействия на территории сельского поселения Полноват подразделений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 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мониторинг политических, социально-экономических и иных процессов в сельском поселении Полноват, оказывающих влияние на ситуацию в области противодействия терроризму, и систематическое информирование по данным вопросам антитеррористической комиссии Ханты-Мансийского автономного округа – Югры, Белоярского района;</w:t>
      </w:r>
      <w:proofErr w:type="gramEnd"/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разработка и организация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 по предупреждению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 на территории сельского поселения Полноват;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содействие руководству критически важных для инфраструктуры и потенциально опасных объектов в обеспечении антитеррористической защищенности, минимизации и ликвидации последствий террористических проявлений;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принятие мер для своевременного и качественного исполнения решений Национального антитеррористического комитета и антитеррористической комиссии Ханты-Мансийского автономного округа – Югры, Белоярского района в части, касающейся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осуществления своих задач АТК имеет право: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принимать в пределах своей компетенции решения, касающиеся организации деятельности на территории сельского поселения Полноват по профилактике терроризма, минимизации и ликвидации последствий его проявлений, а также осуществлять контроль их исполнения;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Белоярского района, общественных объединений, организаций (независимо от форм собственности) и должностных лиц;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привлекать для участия в работе АТК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Белоярского района, а также представителей организаций и общественных объединений (с их согласия).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АТК строит свою работу во взаимодействии с антитеррористической комиссией Ханты-Мансийского автономного округа – Югры, Белоярского района, в целях реализации первоочередных мер по пресечению террористического акта на территории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АТК осуществляет свою деятельность на плановой основе в соответствии с </w:t>
      </w:r>
      <w:hyperlink r:id="rId15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председателем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АТК информирует антитеррористическую комиссию Ханты-Мансийского автономного округа – Югры, Белоярского района по итогам своей деятельности за год.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Заседания АТК проводятся не реже одного раза в квартал. В случае необходимости по решению председателя АТК могут проводиться внеочередные заседания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Присутствие членов АТК на ее заседаниях обязательно. Члены АТК не вправе делегировать свои полномочия иным лицам.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присутствия члена АТК на заседании он обязан заблаговременно известить об этом председателя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невозможности присутствия члена АТК на заседании лицо, исполняющее его обязанности, после согласования с председателем АТК может присутствовать на заседании с правом совещательного голоса.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Заседание АТК считается правомочным, если на нем присутствует более половины ее членов.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АТК обладают равными правами при обсуждении рассматриваемых на заседании вопросов.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вопросов, рассматриваемых на заседаниях АТК, к участию в них могут привлекаться иные лица.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Решение АТК оформляется протоколом, который подписывается председателем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принимаемые АТК в соответствии с ее компетенцией, являются обязательными для ее членов. В целях реализации решений АТК могут издаваться нормативные акты администрации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применяться меры административного воздействия надзорными органами в пределах предоставленных им полномочий.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Организационное и материально-техническое обеспечение деятельности АТК осуществляется высшим должностным лицом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для этих целей назначает должностное лицо (секретаря АТК сельского поселения Полноват), ответственного за организацию данной работы.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Основными задачами секретаря АТК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координация деятельности рабочих органов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ведение делопроизводства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Информационно-аналитическое обеспечение деятельности АТК осуществляют в установленном порядке подразделения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органов местного самоуправления, которые участвуют в пределах своей компетенции в противодействии терроризму.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Default="009A1AAD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Default="009A1AAD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октября 2011 года № 73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Г Л А М Е Н Т</w:t>
      </w: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регламент устанавливает общие правила организации деятельности антитеррористической комиссии в сельском поселении Полноват (далее - АТК) по реализации ее полномочий, закрепленных в </w:t>
      </w:r>
      <w:hyperlink r:id="rId16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Положении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антитеррористической комиссии сельского поселения Полноват (далее – Положение об АТК), нормативных правовых актах Российской Федерации и Ханты-Мансийского автономного округа – Югры.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Основные направления деятельности АТК изложены в </w:t>
      </w:r>
      <w:hyperlink r:id="rId17" w:history="1">
        <w:r w:rsidRPr="0039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Положении</w:t>
        </w:r>
      </w:hyperlink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Организационное и материально-техническое обеспечение деятельности АТК осуществляется высшим должностным лицом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Полномочия председателя и членов АТК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Председатель АТК осуществляет общее руководство деятельностью АТК, дает поручения членам АТК по вопросам, отнесенным к компетенции АТК, ведет заседания АТК, подписывает протоколы заседаний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АТК представляет АТК по вопросам, отнесенным к ее компетенции.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информирует председателя антитеррористической комиссии Ханты-Мансийского автономного округа – Югры, Белоярского района о результатах деятельности комиссии по итогам года.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Председатель АТК назначает заместителя председателя АТК. В зависимости от штатной категории им может быть определен руководитель (представитель) подразделения территориального органа ФСБ России, МВД России либо заместитель главы муниципального образования.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председателя АТК заместитель выполняет обязанности председателя АТК в его отсутствие, ведет заседания АТК и подписывает протоколы заседания АТК, дает поручения в пределах своей компетенции, по поручению председателя представляет АТК во взаимоотношениях с территориальными органами федеральных органов исполнительной власти, исполнительными органами государственной власти автономного округа, антитеррористической комиссией Ханты-Мансийского автономного округа - Югры, организациями, расположенными на территории сельского поселения Полноват, а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средствами массовой информации.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Председатель АТК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наделяет ответственное должностное лицо администрации сельского поселения 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секретаря комиссии, который по его поручению: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обеспечению деятельности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взаимодействие АТК с аппаратом антитеррористической комиссии Ханты-Мансийского автономного округа - Югры, антитеррористическими комиссиями муниципальных образований на территории автономного округа,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- Югры, организациями и общественными объединениями, средствами массовой информации.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Члены АТК обладают равными правами при подготовке и обсуждении рассматриваемых на заседании вопросов.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Члены АТК имеют право: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на заседаниях АТК, вносить предложения по вопросам, входящим в компетенцию АТК, голосовать по обсуждаемым вопросам;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 и материалами АТК, непосредственно касающимися деятельности АТК в сфере противодействия терроризму;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привлекать, по согласованию с председателем АТК, в установленном порядке сотрудников и специалистов других организаций к экспертной, аналитической и иной работе, связанной с деятельностью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излагать, в случае несогласия с решением АТК, в письменной форме особое мнение, которое подлежит отражению в протоколе комиссии и прилагается к их решению.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Член АТК обязан: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подготовку вопросов, выносимых на рассмотрение АТК и утвержденных протокольным решением;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заседаниях АТК. В случае невозможности присутствия на заседании член АТК обязан заблаговременно известить об этом председателя АТК. Лицо, исполняющее его обязанности, после согласования с председателем АТК может присутствовать на его заседании с правом совещательного голоса;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 рамках своих должностных полномочий выполнение решений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требования нормативных правовых актов, устанавливающих правила организации работы комиссии.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Доступ средств массовой информации к сведениям о деятельности АТК и порядок размещения в информационных системах общего пользования сведений о вопросах и материалах, рассматриваемых на заседаниях АТК,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Планирование и организация работы АТК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Заседания АТК проводятся в соответствии с планом. План составляется на один год и утверждается председателем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Заседания комиссии проводятся не реже одного раза в квартал.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 решению председателя АТК могут проводиться внеочередные заседания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План заседаний АТК включает в себя перечень основных вопросов, подлежащих рассмотрению на заседании АТК, с указанием по каждому вопросу срока его рассмотрения и ответственных за подготовку вопроса.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Предложения в план заседаний АТК направляются в письменной форме секретарю АТК не позднее, чем за один месяц до начала планируемого периода либо в сроки, определенные председателем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содержать: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вопроса и краткое обоснование необходимости его рассмотрения на заседании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предлагаемого решения;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ответственного за подготовку вопроса;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соисполнителей;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рассмотрения на заседании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предложения могут направляться секретарем АТК для дополнительной проработки членам АТК. Заключения членов АТК и другие материалы по внесенным предложениям должны быть представлены секретарю АТК не позднее одного месяца со дня их получения, если иное не оговорено сопроводительным документом.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основе предложений, поступивших секретарю АТК, формируется проект плана заседаний АТК на очередной период, который, по согласованию с председателем АТК, выносится для обсуждения и утверждения на последнем заседании АТК текущего года.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Утвержденный план заседаний АТК рассылается членам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Решение об изменении утвержденного плана в части содержания вопроса и срока его рассмотрения принимается председателем АТК по мотивированному письменному предложению члена АТК, ответственного за подготовку вопроса.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Рассмотрение на заседаниях АТК дополнительных (внеплановых) вопросов осуществляется по решению председателя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подготовки заседаний АТК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АТК или должностные лица, на которых возложена подготовка соответствующих материалов для рассмотрения на заседаниях АТК, принимают участие в подготовке этих заседаний в соответствии с утвержденным планом заседаний АТК и несут персональную ответственность за качество и своевременность представления материалов.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Секретарь АТК оказывает организационную и методическую помощь участвующим в подготовке материалов к заседанию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Проект повестки дня заседания АТК уточняется в процессе подготовки к очередному заседанию и согласовывается секретарем АТК с председателем АТК. Повестка дня заседания АТК утверждается непосредственно на заседании.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подготовки вопросов, вносимых на рассмотрение АТК, решением председателя АТК могут создаваться рабочие органы комиссии из числа членов АТК, представителей заинтересованных органов, а также экспертов.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Секретарю АТК, не позднее, чем за 10 дней до даты проведения заседания, представляются следующие материалы: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аналитическая справка по рассматриваемому вопросу;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тезисы выступления основного докладчика;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согласования проекта решения с заинтересованными государственными органами;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особое мнение по представленному проекту, если таковое имеется.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подготовки и представлением материалов для рассмотрения на заседаниях АТК осуществляется секретарем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Повестка дня предстоящего заседания АТК с соответствующими материалами докладывается секретарем АТК председателю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Одобренные председателем АТК проект протокольного решения, повестка заседания и соответствующие материалы рассылаются членам АТК и участникам заседания не позднее, чем за 5 дней до даты проведения заседания.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АТК и участники заседания, которым разосланы проект повестки заседания и соответствующие материалы, при необходимости, не позднее, чем за 3 дня до начала </w:t>
      </w: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заседания, представляют в письменном виде секретарю АТК свои замечания и предложения к проекту решения по соответствующим вопросам.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 если для реализации решений АТК требуется принятие нормативного акта, одновременно с подготовкой материалов к заседанию АТК органом, ответственным за подготовку вопроса, разрабатываются и согласовываются в установленном порядке соответствующие проекты нормативного акта. При необходимости готовится соответствующее финансово-экономическое обоснование.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Секретарь АТК не позднее, чем за 5 дней до даты проведения заседания, информирует членов АТК и лиц, приглашенных на заседание, о дате, времени и месте проведения заседания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АТК, не позднее, чем за 2 дня до даты проведения заседания АТК, информируют председателя АТК о своем участии или причинах отсутствия на заседании. Список членов АТК, отсутствующих по уважительным причинам (болезнь, командировка, отпуск), докладывается председателю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самоуправления, а также руководители иных органов и организаций, имеющих непосредственное отношение к рассматриваемому вопросу.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Состав приглашаемых на заседание АТК должностных лиц формируется председателем АТК на основе предложений органов и организаций, ответственных за подготовку рассматриваемых вопросов, и заблаговременно докладывается председателю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заседаний АТК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АТК созываются председателем АТК либо по его поручению заместителем председателя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Лица, участвующие в заседаниях АТК, регистрируются секретарем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Заседание комиссии считается правомочным, если на нем присутствует более половины ее членов.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Заседания проходят под председательством председателя АТК, который: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заседание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обсуждение вопросов повестки дня заседания АТК;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слово для выступления членам АТК, а также приглашенным лицам в порядке очередности поступивших заявок;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голосование и подсчет голосов, оглашает результаты голосования;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положений настоящего Регламента членами АТК и приглашенными лицами.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голосовании, председатель голосует последним.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докладами на заседаниях АТК по вопросам повестки дня выступают члены АТК либо, по согласованию с председателем АТК, в отдельных случаях лица, уполномоченные членами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заседания АТК определяется при подготовке к заседанию, а утверждается непосредственно на заседании.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член АТК имеет один голос и голосует лично. Член АТК, не согласный с принятым АТК решением, вправе на заседании АТК, на котором было принято указанное решение, после голосования довести до сведения членов АТК, что у него имеется особое мнение, которое вносится в протокол. Особое мнение, изложенное в письменной форме, прилагается к протоколу заседания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АТК принимаются открытым голосованием простым большинством голосов присутствующих на заседании членов АТК. При равенстве голосов решающим является голос председательствующего на заседании.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голосования, оглашенные председательствующим, вносятся в протокол.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закрытых заседаний АТК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Материалы, содержащие сведения, составляющие государственную тайну, вручаются членам АТК под роспись в реестре во время регистрации перед заседанием и подлежат возврату по окончании заседания.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Присутствие представителей средств массовой информации и проведение звукозаписи, кино-, видео- и фотосъемок на заседаниях АТК организуются в порядке, определяемом председателем или, по его поручению, секретарем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Оформление решений, принятых на заседаниях АТК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Решения АТК оформляется протоколом, который в пятидневный срок после даты проведения заседания готовится секретарем АТК и подписывается председателем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протоколе указываются: фамилии председательствующего и присутствующих на заседании членов АТК, приглашенных лиц, вопросы, рассмотренные в ходе заседания, принятые решения.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особые мнения членов АТК, если таковые имеются.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необходимости доработки проектов рассмотренных на заседании АТК материалов, по которым высказаны предложения и замечания, в протоколе отражается соответствующее поручение членам АТК. Если срок доработки специально не оговаривается, то она осуществляется в срок до 10 дней.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Протоколы заседаний (выписки решений комиссии) секретарем АТК рассылаются членам АТК, а также организациям и должностным лицам по списку, утвержденному председателем АТК, в трехдневный срок после получения подписанного протокола.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решений и поручений, содержащихся в протоколах заседаний АТК, осуществляет секретарь АТК.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АТК снимает с контроля исполнение поручений на основании решения председателя АТК, о чем информирует исполнителей.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предоставления отчетов и донесений в Аппарат Антитеррористической комиссией Ханты-Мансийского автономного округа - Югры,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делопроизводства комиссии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Информирование о состоянии политических, социально-экономических и иных процессов в сельском поселении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оказывающих влияние на ситуацию в сфере противодействия терроризму, осуществляется в сроки, установленные аппаратом антитеррористической комиссии Ханты-Мансийского автономного округа - Югры, а при осложнении ситуации - немедленно. Информирование председателя антитеррористической комиссии Ханты-Мансийского автономного округа - Югры о результатах деятельности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года осуществляется донесением за подписью председателя АТК до 10 декабря текущего года.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Секретное и несекретное делопроизводство осуществляется в соответствии с требованиями нормативных актов, ведется соответствующими органами администрации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отдельном деле.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Default="009A1AAD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Default="009A1AAD" w:rsidP="009A1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A1AAD" w:rsidRDefault="009A1AAD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октября 2011 года № 73</w:t>
      </w: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3F4F" w:rsidRP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393F4F" w:rsidRDefault="00393F4F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антитеррористической комиссии сельского поселения </w:t>
      </w:r>
      <w:proofErr w:type="gramStart"/>
      <w:r w:rsidRPr="0039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9A1AAD" w:rsidRDefault="009A1AAD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 редакции от 25 июня 2019 года № 45)</w:t>
      </w:r>
    </w:p>
    <w:p w:rsidR="009A1AAD" w:rsidRPr="009A1AAD" w:rsidRDefault="009A1AAD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A1AAD" w:rsidRDefault="009A1AAD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сельского поселения Полноват, председатель комиссии 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муниципального образования, заведующий сектором муниципального хозяйства администрации сельского поселения Полноват, заместитель председателя комиссии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I категории сектора организационной деятельности   администрации сельского поселения Полноват, секретарь комиссии 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участковый уполномоченный </w:t>
      </w:r>
      <w:r w:rsidRPr="009A1AAD">
        <w:rPr>
          <w:rFonts w:ascii="Times New Roman" w:eastAsia="Times New Roman" w:hAnsi="Times New Roman" w:cs="Times New Roman"/>
          <w:sz w:val="24"/>
          <w:szCs w:val="24"/>
        </w:rPr>
        <w:t>полиции ОМВД России по Белоярскому району</w:t>
      </w: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Calibri" w:hAnsi="Times New Roman" w:cs="Times New Roman"/>
          <w:sz w:val="24"/>
          <w:szCs w:val="24"/>
        </w:rPr>
        <w:t xml:space="preserve">- начальник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</w: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 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муниципального автономного общеобразовательного учреждения Белоярского района  «Средняя общеобразовательная школа им.  И.Ф. Пермяков </w:t>
      </w:r>
      <w:proofErr w:type="gramStart"/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Полноват»                       (по согласованию)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</w:rPr>
        <w:t>- врач – терапевт  Полноватской участковой больницы</w:t>
      </w: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 Ханты-Мансийского автономного округа – Югры «Белоярская районная больница» (по согласованию)</w:t>
      </w: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Полноватского участка  акционерного общества «Югорская  Коммунальная Эксплуатирующая Компания – Белоярский»  (по согласованию)</w:t>
      </w:r>
    </w:p>
    <w:p w:rsidR="009A1AAD" w:rsidRPr="009A1AAD" w:rsidRDefault="009A1AAD" w:rsidP="009A1A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AAD" w:rsidRPr="009A1AAD" w:rsidRDefault="009A1AAD" w:rsidP="009A1A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D" w:rsidRPr="009A1AAD" w:rsidRDefault="009A1AAD" w:rsidP="009A1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1AAD" w:rsidRPr="00393F4F" w:rsidRDefault="009A1AAD" w:rsidP="00393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A1AAD" w:rsidRPr="0039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4F"/>
    <w:rsid w:val="00393F4F"/>
    <w:rsid w:val="00783330"/>
    <w:rsid w:val="008A17C0"/>
    <w:rsid w:val="009A1AAD"/>
    <w:rsid w:val="00B34F20"/>
    <w:rsid w:val="00B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1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1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71711;fld=134;dst=100018" TargetMode="External"/><Relationship Id="rId13" Type="http://schemas.openxmlformats.org/officeDocument/2006/relationships/hyperlink" Target="consultantplus://offline/main?base=RLAW926;n=71711;fld=134;dst=1000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71854;fld=134;dst=100015" TargetMode="External"/><Relationship Id="rId12" Type="http://schemas.openxmlformats.org/officeDocument/2006/relationships/hyperlink" Target="consultantplus://offline/main?base=RLAW926;n=71711;fld=134;dst=100054" TargetMode="External"/><Relationship Id="rId17" Type="http://schemas.openxmlformats.org/officeDocument/2006/relationships/hyperlink" Target="consultantplus://offline/main?base=RLAW926;n=71711;fld=134;dst=100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926;n=71711;fld=134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55" TargetMode="External"/><Relationship Id="rId11" Type="http://schemas.openxmlformats.org/officeDocument/2006/relationships/hyperlink" Target="consultantplus://offline/main?base=RLAW926;n=71711;fld=134;dst=100018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RLAW926;n=71711;fld=134;dst=100054" TargetMode="External"/><Relationship Id="rId10" Type="http://schemas.openxmlformats.org/officeDocument/2006/relationships/hyperlink" Target="consultantplus://offline/main?base=RLAW926;n=71711;fld=134;dst=1000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71711;fld=134;dst=100054" TargetMode="External"/><Relationship Id="rId1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2019-06-26T07:40:00Z</cp:lastPrinted>
  <dcterms:created xsi:type="dcterms:W3CDTF">2019-06-26T05:25:00Z</dcterms:created>
  <dcterms:modified xsi:type="dcterms:W3CDTF">2019-06-26T10:17:00Z</dcterms:modified>
</cp:coreProperties>
</file>