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HYPERLINK "https://www.consultant.ru"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fldChar w:fldCharType="end"/>
      </w:r>
      <w:r>
        <w:rPr>
          <w:sz w:val="20"/>
        </w:rPr>
        <w:br w:type="textWrapping"/>
      </w:r>
    </w:p>
    <w:p>
      <w:pPr>
        <w:pStyle w:val="4"/>
        <w:outlineLvl w:val="0"/>
      </w:pPr>
    </w:p>
    <w:p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ПОСТАНОВЛЕНИЕ</w:t>
      </w:r>
    </w:p>
    <w:p>
      <w:pPr>
        <w:pStyle w:val="6"/>
        <w:jc w:val="center"/>
      </w:pPr>
      <w:r>
        <w:rPr>
          <w:sz w:val="20"/>
        </w:rPr>
        <w:t>от 20 августа 2020 г. N 738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ОБ УТВЕРЖДЕНИИ ПОРЯДКА ОЦЕНКИ НАЛОГОВЫХ РАСХОДОВ БЕЛОЯРСКОГО</w:t>
      </w:r>
    </w:p>
    <w:p>
      <w:pPr>
        <w:pStyle w:val="6"/>
        <w:jc w:val="center"/>
      </w:pPr>
      <w:r>
        <w:rPr>
          <w:sz w:val="20"/>
        </w:rPr>
        <w:t>РАЙОНА И ПОСЕЛЕНИЙ В ГРАНИЦАХ БЕЛОЯРСКОГО РАЙОНА</w:t>
      </w:r>
    </w:p>
    <w:p>
      <w:pPr>
        <w:spacing w:before="0" w:after="1"/>
      </w:pPr>
    </w:p>
    <w:tbl>
      <w:tblPr>
        <w:tblW w:w="8305" w:type="dxa"/>
        <w:jc w:val="center"/>
        <w:tblBorders>
          <w:top w:val="none" w:color="auto" w:sz="0" w:space="0"/>
          <w:left w:val="single" w:color="CED3F1" w:sz="24" w:space="0"/>
          <w:bottom w:val="none" w:color="auto" w:sz="0" w:space="0"/>
          <w:right w:val="single" w:color="F4F3F8" w:sz="24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305"/>
      </w:tblGrid>
      <w:tr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single" w:color="F4F3F8" w:sz="24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8245" w:type="dxa"/>
            <w:tcBorders>
              <w:top w:val="nil"/>
              <w:left w:val="single" w:color="CED3F1" w:sz="24" w:space="0"/>
              <w:bottom w:val="nil"/>
              <w:right w:val="single" w:color="F4F3F8" w:sz="24" w:space="0"/>
            </w:tcBorders>
            <w:shd w:val="clear" w:color="auto" w:fill="F4F3F8"/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HYPERLINK "consultantplus://offline/ref=9292E15F0DF96464D01E23B76E33244006254EEFA4207300156B4B4B39CBBBE16B12731EF991FF347D46B7AB71A3F99B170926644FE88BB0F05D5CF8YAz8M"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08.06.2021 N 477)</w:t>
            </w:r>
          </w:p>
        </w:tc>
      </w:tr>
    </w:tbl>
    <w:p>
      <w:pPr>
        <w:pStyle w:val="4"/>
        <w:jc w:val="center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HYPERLINK "consultantplus://offline/ref=9292E15F0DF96464D01E3DBA785F734F032619E1A5217C5249394D1C669BBDB42B52754EBDD3FB3E2917F3FE79A8AFD4535535664DF4Y8zAM"</w:instrText>
      </w:r>
      <w:r>
        <w:fldChar w:fldCharType="separate"/>
      </w:r>
      <w:r>
        <w:rPr>
          <w:color w:val="0000FF"/>
          <w:sz w:val="20"/>
        </w:rPr>
        <w:t>пунктом 2 статьи 174.3</w:t>
      </w:r>
      <w:r>
        <w:fldChar w:fldCharType="end"/>
      </w:r>
      <w:r>
        <w:rPr>
          <w:sz w:val="20"/>
        </w:rPr>
        <w:t xml:space="preserve"> Бюджетного кодекса Российской Федерации, </w:t>
      </w:r>
      <w:r>
        <w:fldChar w:fldCharType="begin"/>
      </w:r>
      <w:r>
        <w:instrText xml:space="preserve">HYPERLINK "consultantplus://offline/ref=9292E15F0DF96464D01E3DBA785F734F032B19EAA52A7C5249394D1C669BBDB42B52754BBAD5F237794DE3FA30FDA0CA51422B6D53F48BBBYEzFM"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fldChar w:fldCharType="end"/>
      </w:r>
      <w:r>
        <w:rPr>
          <w:sz w:val="20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образований", на основании соглашений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постановляю: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прилагаемый </w:t>
      </w:r>
      <w:r>
        <w:fldChar w:fldCharType="begin"/>
      </w:r>
      <w:r>
        <w:instrText xml:space="preserve">HYPERLINK \l"P32"</w:instrText>
      </w:r>
      <w:r>
        <w:fldChar w:fldCharType="separate"/>
      </w:r>
      <w:r>
        <w:rPr>
          <w:color w:val="0000FF"/>
          <w:sz w:val="20"/>
        </w:rPr>
        <w:t>Порядок</w:t>
      </w:r>
      <w:r>
        <w:fldChar w:fldCharType="end"/>
      </w:r>
      <w:r>
        <w:rPr>
          <w:sz w:val="20"/>
        </w:rPr>
        <w:t xml:space="preserve"> оценки налоговых расходов Белоярского района и поселений в границах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Признать утратившими силу: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- </w:t>
      </w:r>
      <w:r>
        <w:fldChar w:fldCharType="begin"/>
      </w:r>
      <w:r>
        <w:instrText xml:space="preserve">HYPERLINK "consultantplus://offline/ref=9292E15F0DF96464D01E23B76E33244006254EEFA32A7003136616413192B7E36C1D2C1BFE80FF357F58B7A26AAAADC8Y5z2M"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Белоярского района от 28 мая 2010 года N 752 "Об утверждении Порядка оценки бюджетной, социальной и экономической эффективности предоставляемых (планируемых к предоставлению) налоговых льгот";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- </w:t>
      </w:r>
      <w:r>
        <w:fldChar w:fldCharType="begin"/>
      </w:r>
      <w:r>
        <w:instrText xml:space="preserve">HYPERLINK "consultantplus://offline/ref=9292E15F0DF96464D01E23B76E33244006254EEFA724720D106F4B4B39CBBBE16B12731EEB91A7387D44A9AB7DB6AFCA51Y5zDM"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Белоярского района от 31 мая 2018 года N 459 "О внесении изменений в постановление администрации Белоярского района от 28 мая 2010 года N 752".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Опубликовать настоящее постановление в газете "Белоярские вести. Официальный выпуск".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Настоящее постановление вступает в силу после его официального опубликования, но не ранее 1 января 2021 года.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>
      <w:pPr>
        <w:pStyle w:val="4"/>
        <w:ind w:firstLine="540"/>
        <w:jc w:val="both"/>
      </w:pPr>
    </w:p>
    <w:p>
      <w:pPr>
        <w:pStyle w:val="4"/>
        <w:jc w:val="right"/>
      </w:pPr>
      <w:r>
        <w:rPr>
          <w:sz w:val="20"/>
        </w:rPr>
        <w:t>Глава Белоярского района</w:t>
      </w:r>
    </w:p>
    <w:p>
      <w:pPr>
        <w:pStyle w:val="4"/>
        <w:jc w:val="right"/>
      </w:pPr>
      <w:r>
        <w:rPr>
          <w:sz w:val="20"/>
        </w:rPr>
        <w:t>С.П.МАНЕНКОВ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0"/>
      </w:pPr>
      <w:r>
        <w:rPr>
          <w:sz w:val="20"/>
        </w:rPr>
        <w:t>Утвержден</w:t>
      </w:r>
    </w:p>
    <w:p>
      <w:pPr>
        <w:pStyle w:val="4"/>
        <w:jc w:val="right"/>
      </w:pPr>
      <w:r>
        <w:rPr>
          <w:sz w:val="20"/>
        </w:rPr>
        <w:t>постановлением администрации</w:t>
      </w:r>
    </w:p>
    <w:p>
      <w:pPr>
        <w:pStyle w:val="4"/>
        <w:jc w:val="right"/>
      </w:pPr>
      <w:r>
        <w:rPr>
          <w:sz w:val="20"/>
        </w:rPr>
        <w:t>Белоярского района</w:t>
      </w:r>
    </w:p>
    <w:p>
      <w:pPr>
        <w:pStyle w:val="4"/>
        <w:jc w:val="right"/>
      </w:pPr>
      <w:r>
        <w:rPr>
          <w:sz w:val="20"/>
        </w:rPr>
        <w:t>от 20 августа 2020 года N 738</w:t>
      </w:r>
    </w:p>
    <w:p>
      <w:pPr>
        <w:pStyle w:val="4"/>
      </w:pPr>
    </w:p>
    <w:p>
      <w:pPr>
        <w:pStyle w:val="6"/>
        <w:jc w:val="center"/>
      </w:pPr>
      <w:r>
        <w:rPr>
          <w:sz w:val="20"/>
        </w:rPr>
        <w:t>ПОРЯДОК</w:t>
      </w:r>
    </w:p>
    <w:p>
      <w:pPr>
        <w:pStyle w:val="6"/>
        <w:jc w:val="center"/>
      </w:pPr>
      <w:r>
        <w:rPr>
          <w:sz w:val="20"/>
        </w:rPr>
        <w:t>ОЦЕНКИ НАЛОГОВЫХ РАСХОДОВ БЕЛОЯРСКОГО РАЙОНА И ПОСЕЛЕНИЙ</w:t>
      </w:r>
    </w:p>
    <w:p>
      <w:pPr>
        <w:pStyle w:val="6"/>
        <w:jc w:val="center"/>
      </w:pPr>
      <w:r>
        <w:rPr>
          <w:sz w:val="20"/>
        </w:rPr>
        <w:t>В ГРАНИЦАХ БЕЛОЯРСКОГО РАЙОНА</w:t>
      </w:r>
    </w:p>
    <w:p>
      <w:pPr>
        <w:spacing w:before="0" w:after="1"/>
      </w:pPr>
    </w:p>
    <w:tbl>
      <w:tblPr>
        <w:tblW w:w="8305" w:type="dxa"/>
        <w:jc w:val="center"/>
        <w:tblBorders>
          <w:top w:val="none" w:color="auto" w:sz="0" w:space="0"/>
          <w:left w:val="single" w:color="CED3F1" w:sz="24" w:space="0"/>
          <w:bottom w:val="none" w:color="auto" w:sz="0" w:space="0"/>
          <w:right w:val="single" w:color="F4F3F8" w:sz="24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305"/>
      </w:tblGrid>
      <w:tr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single" w:color="F4F3F8" w:sz="24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8245" w:type="dxa"/>
            <w:tcBorders>
              <w:top w:val="nil"/>
              <w:left w:val="single" w:color="CED3F1" w:sz="24" w:space="0"/>
              <w:bottom w:val="nil"/>
              <w:right w:val="single" w:color="F4F3F8" w:sz="24" w:space="0"/>
            </w:tcBorders>
            <w:shd w:val="clear" w:color="auto" w:fill="F4F3F8"/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HYPERLINK "consultantplus://offline/ref=9292E15F0DF96464D01E23B76E33244006254EEFA4207300156B4B4B39CBBBE16B12731EF991FF347D46B7AB71A3F99B170926644FE88BB0F05D5CF8YAz8M"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08.06.2021 N 477)</w:t>
            </w:r>
          </w:p>
        </w:tc>
      </w:tr>
    </w:tbl>
    <w:p>
      <w:pPr>
        <w:pStyle w:val="4"/>
      </w:pPr>
    </w:p>
    <w:p>
      <w:pPr>
        <w:pStyle w:val="6"/>
        <w:jc w:val="center"/>
        <w:outlineLvl w:val="1"/>
      </w:pPr>
      <w:r>
        <w:rPr>
          <w:sz w:val="20"/>
        </w:rPr>
        <w:t>I. Общие положения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 Порядок оценки налоговых расходов Белоярского района и поселений в границах Белоярского района (далее - Порядок) определяет процедуру проведения оценки эффективности предоставляемых (планируемых к предоставлению) налоговых расходов Белоярского района (далее - район) и поселений в границах Белоярского района (далее - поселения), правила формирования информации о нормативных, целевых и фискальных характеристиках налоговых расходов района (поселений), порядок обобщения результатов оценки эффективности налоговых расходов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 Понятия, используемые в Порядке, соответствуют терминам и определениям, установленным общими </w:t>
      </w:r>
      <w:r>
        <w:fldChar w:fldCharType="begin"/>
      </w:r>
      <w:r>
        <w:instrText xml:space="preserve">HYPERLINK "consultantplus://offline/ref=9292E15F0DF96464D01E3DBA785F734F032B19EAA52A7C5249394D1C669BBDB42B52754BBAD5F235744DE3FA30FDA0CA51422B6D53F48BBBYEzFM"</w:instrText>
      </w:r>
      <w:r>
        <w:fldChar w:fldCharType="separate"/>
      </w:r>
      <w:r>
        <w:rPr>
          <w:color w:val="0000FF"/>
          <w:sz w:val="20"/>
        </w:rPr>
        <w:t>требованиями</w:t>
      </w:r>
      <w:r>
        <w:fldChar w:fldCharType="end"/>
      </w:r>
      <w:r>
        <w:rPr>
          <w:sz w:val="20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Оценка эффективности предоставляемых (планируемых к предоставлению) налоговых расходов района (поселений) осуществляется в отношении налоговых льгот, пониженных ставок и иных преференций, установленных нормативными правовыми актами представительных органов местного самоуправления района (поселений) по налогам и сборам со сроком действия более 2 лет для: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"consultantplus://offline/ref=9292E15F0DF96464D01E23B76E33244006254EEFA4207300156B4B4B39CBBBE16B12731EF991FF347D46B7AB72A3F99B170926644FE88BB0F05D5CF8YAz8M"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477)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налогоплательщиков - организаций по земельному налогу;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индивидуальных предпринимателей, перешедших на единый налог на вмененный доход (для отдельных видов деятельности);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физических лиц, являющихся в соответствии с законодательством о налогах и сборах плательщиками налогов в бюджет района (поселений) и входящих в льготную категорию налогоплательщиков по земельному налогу, налогу на имущество физических лиц (далее - налогоплательщики - физические лица).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Оценка налоговых расходов района (поселений) направлена на оптимизацию перечня налоговых преференций, установленных нормативными правовыми актами представительных органов местного самоуправления района (поселений) по налогам и сборам, обеспечение оптимального выбора объектов для предоставления государственной (муниципальной) поддержки в виде данных налоговых преференций.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Результаты рассмотрения оценки налоговых расходов района (поселений) учитываются при формировании основных направлений бюджетной и налоговой политики района (поселений), а также при проведении оценки эффективности реализации муниципальных программ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 В целях оценки налоговых расходов района (поселений) Комитет по финансам и налоговой политике администрации района (далее - уполномоченный орган):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формирует перечень налоговых расходов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обеспечивает сбор и формирование информации о нормативных, целевых и фискальных характеристиках налоговых расходов района (поселений), необходимой для проведения их оценки;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осуществляет обобщение результатов оценки эффективности налоговых расходов района (поселений), осуществляемой кураторами налоговых расходов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6. Кураторы налоговых расходов района (поселений):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1) формируют паспорта налоговых расходов района (поселений), содержащие информацию, предусмотренную </w:t>
      </w:r>
      <w:r>
        <w:fldChar w:fldCharType="begin"/>
      </w:r>
      <w:r>
        <w:instrText xml:space="preserve">HYPERLINK \l"P141"</w:instrText>
      </w:r>
      <w:r>
        <w:fldChar w:fldCharType="separate"/>
      </w:r>
      <w:r>
        <w:rPr>
          <w:color w:val="0000FF"/>
          <w:sz w:val="20"/>
        </w:rPr>
        <w:t>приложением</w:t>
      </w:r>
      <w:r>
        <w:fldChar w:fldCharType="end"/>
      </w:r>
      <w:r>
        <w:rPr>
          <w:sz w:val="20"/>
        </w:rPr>
        <w:t xml:space="preserve"> к настоящему Порядку;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осуществляют оценку эффективности налоговых расходов района (поселений)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формулируют выводы о достижении целевых характеристик налогового расхода района (поселений), вкладе налогового расхода района (поселений) в достижение целей муниципальной программы района (поселений) и (или) целей социально-экономической политики района (поселений),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представляют в уполномоченный орган предложения о сохранении (уточнении, отмене) льгот для налогоплательщиков.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II. Правила формирования информации о нормативных, целевых</w:t>
      </w:r>
    </w:p>
    <w:p>
      <w:pPr>
        <w:pStyle w:val="6"/>
        <w:jc w:val="center"/>
      </w:pPr>
      <w:r>
        <w:rPr>
          <w:sz w:val="20"/>
        </w:rPr>
        <w:t>и фискальных характеристиках налоговых расходов района</w:t>
      </w:r>
    </w:p>
    <w:p>
      <w:pPr>
        <w:pStyle w:val="6"/>
        <w:jc w:val="center"/>
      </w:pPr>
      <w:r>
        <w:rPr>
          <w:sz w:val="20"/>
        </w:rPr>
        <w:t>(поселений)</w:t>
      </w:r>
    </w:p>
    <w:p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"consultantplus://offline/ref=9292E15F0DF96464D01E23B76E33244006254EEFA4207300156B4B4B39CBBBE16B12731EF991FF347D46B7AB73A3F99B170926644FE88BB0F05D5CF8YAz8M"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</w:t>
      </w:r>
    </w:p>
    <w:p>
      <w:pPr>
        <w:pStyle w:val="4"/>
        <w:jc w:val="center"/>
      </w:pPr>
      <w:r>
        <w:rPr>
          <w:sz w:val="20"/>
        </w:rPr>
        <w:t>от 08.06.2021 N 477)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7. Уполномоченный орган ежегодно осуществляет учет информации о налоговых льготах, освобождениях и иных преференциях, установленных нормативными правовыми актами представительных органов местного самоуправления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8. Информация о нормативных, целевых и фискальных характеристиках ежегодно формируется уполномоченным органом в отношении налоговых расходов, включенных в перечень налоговых расходов района (поселений) на очередной финансовый год, размещенный на официальном сайте органов местного самоуправления района (поселений) в информационно-телекоммуникационной сети "Интернет".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9. Формирование информации о налоговых расходах района (поселений) осуществляется уполномоченным органом в электронном виде (в формате электронной таблицы) в разрезе показателей, входящих в </w:t>
      </w:r>
      <w:r>
        <w:fldChar w:fldCharType="begin"/>
      </w:r>
      <w:r>
        <w:instrText xml:space="preserve">HYPERLINK \l"P141"</w:instrText>
      </w:r>
      <w:r>
        <w:fldChar w:fldCharType="separate"/>
      </w:r>
      <w:r>
        <w:rPr>
          <w:color w:val="0000FF"/>
          <w:sz w:val="20"/>
        </w:rPr>
        <w:t>перечень</w:t>
      </w:r>
      <w:r>
        <w:fldChar w:fldCharType="end"/>
      </w:r>
      <w:r>
        <w:rPr>
          <w:sz w:val="20"/>
        </w:rPr>
        <w:t xml:space="preserve"> информации, включаемый в паспорт налоговых расходов района (поселений), приведенный в приложении к настоящему Порядку.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10. Для сбора и учета информации о нормативных и целевых характеристиках налоговых расходов района (поселений) кураторы налоговых расходов района (поселений) представляют в электронном виде в уполномоченный орган информацию по </w:t>
      </w:r>
      <w:r>
        <w:fldChar w:fldCharType="begin"/>
      </w:r>
      <w:r>
        <w:instrText xml:space="preserve">HYPERLINK \l"P201"</w:instrText>
      </w:r>
      <w:r>
        <w:fldChar w:fldCharType="separate"/>
      </w:r>
      <w:r>
        <w:rPr>
          <w:color w:val="0000FF"/>
          <w:sz w:val="20"/>
        </w:rPr>
        <w:t>пунктам 18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\l"P204"</w:instrText>
      </w:r>
      <w:r>
        <w:fldChar w:fldCharType="separate"/>
      </w:r>
      <w:r>
        <w:rPr>
          <w:color w:val="0000FF"/>
          <w:sz w:val="20"/>
        </w:rPr>
        <w:t>19</w:t>
      </w:r>
      <w:r>
        <w:fldChar w:fldCharType="end"/>
      </w:r>
      <w:r>
        <w:rPr>
          <w:sz w:val="20"/>
        </w:rPr>
        <w:t xml:space="preserve"> паспортов налоговых расходов района (поселений) ежегодно, до 15 июля года, следующего за отчетным.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11. Информацию по </w:t>
      </w:r>
      <w:r>
        <w:fldChar w:fldCharType="begin"/>
      </w:r>
      <w:r>
        <w:instrText xml:space="preserve">HYPERLINK \l"P208"</w:instrText>
      </w:r>
      <w:r>
        <w:fldChar w:fldCharType="separate"/>
      </w:r>
      <w:r>
        <w:rPr>
          <w:color w:val="0000FF"/>
          <w:sz w:val="20"/>
        </w:rPr>
        <w:t>пунктам 20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\l"P214"</w:instrText>
      </w:r>
      <w:r>
        <w:fldChar w:fldCharType="separate"/>
      </w:r>
      <w:r>
        <w:rPr>
          <w:color w:val="0000FF"/>
          <w:sz w:val="20"/>
        </w:rPr>
        <w:t>22</w:t>
      </w:r>
      <w: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HYPERLINK \l"P223"</w:instrText>
      </w:r>
      <w:r>
        <w:fldChar w:fldCharType="separate"/>
      </w:r>
      <w:r>
        <w:rPr>
          <w:color w:val="0000FF"/>
          <w:sz w:val="20"/>
        </w:rPr>
        <w:t>25</w:t>
      </w:r>
      <w:r>
        <w:fldChar w:fldCharType="end"/>
      </w:r>
      <w:r>
        <w:rPr>
          <w:sz w:val="20"/>
        </w:rPr>
        <w:t xml:space="preserve"> паспортов налоговых расходов района (поселений) уполномоченный орган формирует на основании данных Межрайонной инспекции федеральной налоговой службы N 8 по Ханты-Мансийскому автономному округу - Югре (далее - налоговая инспекция), предоставленных в порядке, указанном в соглашении по информационному взаимодействию между налоговым органом и администрацией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12. Уполномоченный орган ежегодно, до 1 августа года, следующего за отчетным размещает информацию о нормативных, целевых и фискальных характеристиках налоговых расходов района (поселений), включенных в перечень налоговых расходов района (поселений) на официальном сайте органов местного самоуправления района (поселений) в информационно-телекоммуникационной сети "Интернет".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13. В целях проведения оценки эффективности налоговых расходов района (поселений), формат электронной таблицы доводится уполномоченным органом до кураторов налоговых расходов района (поселений) в течение 5 рабочих дней с даты размещения данной информации на официальном сайте органов местного самоуправления района (поселений) в информационно-телекоммуникационной сети "Интернет".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III. Оценка эффективности налоговых расходов района</w:t>
      </w:r>
    </w:p>
    <w:p>
      <w:pPr>
        <w:pStyle w:val="6"/>
        <w:jc w:val="center"/>
      </w:pPr>
      <w:r>
        <w:rPr>
          <w:sz w:val="20"/>
        </w:rPr>
        <w:t>(поселений)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14. Оценка эффективности налоговых расходов района (поселений) осуществляется кураторами налоговых расходов района (поселений) и включает: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оценку целесообразности налоговых расходов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оценку результативности налоговых расходов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15. Критериями целесообразности налоговых расходов района (поселений) являются: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соответствие налоговых расходов района (поселений) целям муниципальных программ района (поселений), их структурным элементам и (или) целям социально-экономической политики района (поселений), не относящимся к муниципальным программам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к общей численности плательщиков, за 5-летний период.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16. Налоговый расход района (поселений) должен соответствовать минимум одной цели муниципальной программы района (поселений), ее структурному элементу и (или) цели социально-экономической политики района (поселений), не относящейся к муниципальным программам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Если налоговый расход района (поселений) носит разнородный характер, то есть соответствует нескольким целям муниципальных программ района (поселений), их структурным элементам и (или) целям социально-экономической политики района (поселений), не относящимся к муниципальным программам района (поселений), в этом случае при проведении оценки целесообразности налогового расхода района (поселений) следует определить одну цель, которая в большей степени отражает цель предоставления налоговой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оценке налоговых расходов района (поселений) следует учитывать, что налоговый расход должен оказывать прямое или косвенное влияние на достижение целей муниципальной программы района (поселений), ее структурных элементов и (или) целей социально-экономической политики района (поселений), не относящихся к муниципальным программам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Прямое влияние предполагает, что связь между налоговыми расходами и вышеуказанными целями должна быть понятной и однозначно воспринимаемой.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Косвенное (опосредованное) влияние должно сопровождаться описанием обоснования взаимосвязи между налоговым расходом района (поселений) и вышеуказанными целями.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17. Соответствие налогового расхода района (поселений) целям социально-экономической политики района (поселений), не относящимся к муниципальным программам района (поселений), может быть отражено в следующих документах: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стратегия социально-экономического развития района;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план мероприятий по реализации стратегии социально-экономического развития района;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выборе документа стратегического планирования и его цели следует использовать цель, наиболее детально отражающую сущность налогового расхода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18. При определении показателя востребованности в случае, когда численность плательщиков, воспользовавшихся правом на налоговые льготы, составляет менее 1% от общей численности плательщиков соответствующего налога, рекомендуется количество плательщиков, воспользовавшихся правом на налоговые льготы, соотносить с количеством плательщиков, потенциально имеющих право на получение данной налоговой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Плательщики, потенциально имеющие право на получение налоговой льготы, определяются на основании положений, актов, статистических данных налоговой инспекции и иных сведений. Кроме того, количество потенциальных плательщиков может быть расчетным показателем, в связи с чем куратору налогового расхода района (поселений) при оценки налогового расхода требуется отразить порядок расчета указанного показателя.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Пороговым значением для социальных и технических налоговых расходов района (поселений), при котором льгота считается востребованной, является наличие фактического количества плательщиков, воспользовавшихся налоговой льготой.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Для стимулирующих налоговых расходов района (поселений) пороговое значение уровня востребованности должно составлять не менее 0,3 процента.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Дополнительным (но не заменяющим) обоснованием востребованности налоговой льготы могут служить экспертные оценки.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необходимости кураторами налоговых расходов района (поселений) могут быть установлены иные критерии целесообразности предоставления льгот для плательщиков.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несоответствия налоговых расходов района (поселений) хотя бы одному из критериев целесообразности, куратору налогового расхода района (поселений) необходимо представить в уполномоченный орган предложения о сохранении (уточнении, отмене) льгот для плательщиков.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19. Оценка результативности налоговых расходов района (поселений) включает: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оценку бюджетной эффективности налоговых расходов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оценку вклада предусмотренного налогового расхода района (поселений) в изменение значения показателя (индикатора)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20. В целях оценки бюджетной эффективности налоговых расходов района (поселений) осуществляются сравнительный анализ результативности предоставления налоговых расходов района (поселений) и результативности применения альтернативных механизмов достижения целей муниципальных программ района (поселений), и (или) целей социально-экономической политики района (поселений), не относящихся к муниципальным программам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21. Сравнительный анализ включает сопоставление объемов расходов бюджета района (поселений) в случае применения альтернативных механизмов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и объемов предоставленных налоговых расходов района (поселений) (расчет прироста показателя (индикатора)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на 1 рубль налоговых расходов района (поселений) и на 1 рубль расходов бюджета района (поселений) для достижения того же показателя (индикатора) в случае применения альтернативных механизмов).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22. В целях обеспечения репрезентативности полученного результата сравнительного анализа результативности предоставления льгот и результативности применения альтернативных механизмов (возможности их объективного сравнения) оценку бюджетной эффективности рекомендуется проводить с применением одного из следующих подходов: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а) сопоставление объемов налогового расхода района (поселений) и расходов бюджета района (поселений) для достижения идентичного значения показателя (индикатора);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б) сопоставление значений показателя (индикатора) при условии идентичных объемов налогового расхода района (поселений) и расходов бюджета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сравнительном анализе необходимо также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этом, объем указанных расходов должен быть обоснован и не зависим от объема налогов (налоговых расходов района (поселений)).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23. В качестве альтернативных механизмов достижения целей муниципальной программы района (поселений) и (или) целей социально-экономической политики района (поселений), не относящихся к муниципальным программам, могут учитываться в том числе: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субсидии или иные формы непосредственной финансовой поддержки плательщиков, имеющих право на льготы, за счет бюджета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предоставление муниципальных гарантий по обязательствам плательщиков, имеющих право на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 сравнении инструмента налоговых расходов района (поселений)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 В качестве суммы для сопоставления рекомендуется использовать расчетный объем бюджетных ассигнований на исполнение муниципальных гарантий с учетом применения регрессного требования гаранта к принципалу. Сопоставительный расчет необходимо производить в одинаковых диапазонах периодов предоставления налоговых льгот и муниципальных гарантий;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Данный альтернативный механизм предполагает совершенствование организационных механизмов взаимодействия между представителями органов местного самоуправления с плательщиками, имеющими право на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24. Альтернативный механизм достижения целей муниципальной программы района (поселений) и (или) целей социально-экономической политики района (поселений), не относящихся к муниципальным программам района (поселений), может быть не предусмотрен действующими на момент проведения оценки эффективности налогового расхода муниципальными правовыми актами. Альтернативный механизм может рассматриваться как потенциальный инструмент регулирования, возможный к установлению на территории района (поселения) вместо льготы.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25. При определении альтернативных механизмов для налоговых расходов района (поселений) социальной целевой категории, в том числе при определении объема средств бюджета района (поселений) на их применение, целесообразно учитывать принцип адресности и (или) критерий нуждаемости.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26. Паспорта налоговых расходов района (поселений), результаты оценки эффективности налоговых расходов района (поселений) и рекомендации по результатам указанной оценки (далее - отчеты кураторов налоговых расходов) направляются кураторами налоговых расходов района (поселений) в уполномоченный орган ежегодно, до 25 августа года, следующего за отчетным.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"consultantplus://offline/ref=9292E15F0DF96464D01E23B76E33244006254EEFA4207300156B4B4B39CBBBE16B12731EF991FF347D46B7AA72A3F99B170926644FE88BB0F05D5CF8YAz8M"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477)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IV. Порядок обобщения результатов оценки эффективности</w:t>
      </w:r>
    </w:p>
    <w:p>
      <w:pPr>
        <w:pStyle w:val="6"/>
        <w:jc w:val="center"/>
      </w:pPr>
      <w:r>
        <w:rPr>
          <w:sz w:val="20"/>
        </w:rPr>
        <w:t>налоговых расходов района (поселений)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27. Уполномоченный орган рассматривает отчеты кураторов налоговых расходов ежегодно, до 1 сентября года, следующего за отчетным.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"consultantplus://offline/ref=9292E15F0DF96464D01E23B76E33244006254EEFA4207300156B4B4B39CBBBE16B12731EF991FF347D46B7AA73A3F99B170926644FE88BB0F05D5CF8YAz8M"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477)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 результатам рассмотрения уполномоченный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возвращения указанного отчета на доработку куратор налогового расхода района (поселений) в течение 5 рабочих дней, следующих за днем его возвращения, устраняет замечания и направляет его на повторное рассмотрение.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28. На основе согласованных отчетов кураторов налоговых расходов уполномоченный орган готовит сводный отчет об оценке эффективности предоставленных налоговых расходов района (поселений) за отчетный период (далее - Сводный отчет).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29. По результатам подготовки Сводного отчета уполномоченный орган готовит аналитическую записку об оценке эффективности предоставленных налоговых расходов района (поселений) за отчетный период (далее - Аналитическая записка).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30. Уполномоченный орган размещает Аналитическую записку на официальном сайте органов местного самоуправления района (поселений) в информационно-телекоммуникационной сети "Интернет" в срок не позднее 1 октября года, следующего за отчетным.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"consultantplus://offline/ref=9292E15F0DF96464D01E23B76E33244006254EEFA4207300156B4B4B39CBBBE16B12731EF991FF347D46B7AA7CA3F99B170926644FE88BB0F05D5CF8YAz8M"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477)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rPr>
          <w:sz w:val="20"/>
        </w:rPr>
        <w:t>Приложение</w:t>
      </w:r>
    </w:p>
    <w:p>
      <w:pPr>
        <w:pStyle w:val="4"/>
        <w:jc w:val="right"/>
      </w:pPr>
      <w:r>
        <w:rPr>
          <w:sz w:val="20"/>
        </w:rPr>
        <w:t>к Порядку оценки налоговых расходов</w:t>
      </w:r>
    </w:p>
    <w:p>
      <w:pPr>
        <w:pStyle w:val="4"/>
        <w:jc w:val="right"/>
      </w:pPr>
      <w:r>
        <w:rPr>
          <w:sz w:val="20"/>
        </w:rPr>
        <w:t>Белоярского района и поселений</w:t>
      </w:r>
    </w:p>
    <w:p>
      <w:pPr>
        <w:pStyle w:val="4"/>
        <w:jc w:val="right"/>
      </w:pPr>
      <w:r>
        <w:rPr>
          <w:sz w:val="20"/>
        </w:rPr>
        <w:t>в границах Белоярского района</w:t>
      </w:r>
    </w:p>
    <w:p>
      <w:pPr>
        <w:pStyle w:val="4"/>
      </w:pPr>
    </w:p>
    <w:p>
      <w:pPr>
        <w:pStyle w:val="6"/>
        <w:jc w:val="center"/>
      </w:pPr>
      <w:r>
        <w:rPr>
          <w:sz w:val="20"/>
        </w:rPr>
        <w:t>ПЕРЕЧЕНЬ</w:t>
      </w:r>
    </w:p>
    <w:p>
      <w:pPr>
        <w:pStyle w:val="6"/>
        <w:jc w:val="center"/>
      </w:pPr>
      <w:r>
        <w:rPr>
          <w:sz w:val="20"/>
        </w:rPr>
        <w:t>ИНФОРМАЦИИ, ВКЛЮЧАЕМОЙ В ПАСПОРТ НАЛОГОВОГО РАСХОДА</w:t>
      </w:r>
    </w:p>
    <w:p>
      <w:pPr>
        <w:pStyle w:val="6"/>
        <w:jc w:val="center"/>
      </w:pPr>
      <w:r>
        <w:rPr>
          <w:sz w:val="20"/>
        </w:rPr>
        <w:t>БЕЛОЯРСКОГО РАЙОНА И ПОСЕЛЕНИЙ В ГРАНИЦАХ БЕЛОЯРСКОГО РАЙОНА</w:t>
      </w:r>
    </w:p>
    <w:p>
      <w:pPr>
        <w:pStyle w:val="4"/>
      </w:pPr>
    </w:p>
    <w:p>
      <w:pPr>
        <w:sectPr>
          <w:pgSz w:w="11905" w:h="16838"/>
          <w:pgMar w:top="1440" w:right="1800" w:bottom="1440" w:left="1800" w:header="0" w:footer="0" w:gutter="0"/>
          <w:cols w:space="720" w:num="1"/>
          <w:docGrid w:linePitch="360" w:charSpace="0"/>
        </w:sect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6350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Предоставляемая информация</w:t>
            </w:r>
          </w:p>
        </w:tc>
        <w:tc>
          <w:tcPr>
            <w:tcW w:w="2098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Источник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2" w:type="dxa"/>
            <w:gridSpan w:val="3"/>
          </w:tcPr>
          <w:p>
            <w:pPr>
              <w:pStyle w:val="4"/>
              <w:outlineLvl w:val="2"/>
            </w:pPr>
            <w:r>
              <w:rPr>
                <w:sz w:val="20"/>
              </w:rPr>
              <w:t>I. Нормативные характеристики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Нормативные правовые акты органов местного самоуправления района (поселений),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2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Комитет по финансам и налоговой политике администрации района (далее - уполномоченный орган)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3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4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Даты вступления в силу нормативных правовых актов органов местного самоуправления района (поселений),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5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Даты начала действия предоставленных нормативными правовыми актами органов местного самоуправления района (поселений) права на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6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Период действия налоговых льгот, освобождений и иных преференций по налогам, предоставленным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7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2" w:type="dxa"/>
            <w:gridSpan w:val="3"/>
          </w:tcPr>
          <w:p>
            <w:pPr>
              <w:pStyle w:val="4"/>
              <w:outlineLvl w:val="2"/>
            </w:pPr>
            <w:r>
              <w:rPr>
                <w:sz w:val="20"/>
              </w:rPr>
              <w:t>II. Целевые характеристики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8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9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Целевая категория налоговых расходов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10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11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органов местного самоуправления района (поселений)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12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13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14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Наименование муниципальной программы района (поселений), наименования нормативных правовых актов, определяющих цели социально-экономической политики района (поселений), не относящихся к муниципальным программам района (поселений),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15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Наименования структурных элементов муниципальных программ района (поселений),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16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Показатели (индикаторы) достижения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перечень налоговых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17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 xml:space="preserve">Код вида экономической деятельности (по </w:t>
            </w:r>
            <w:r>
              <w:fldChar w:fldCharType="begin"/>
            </w:r>
            <w:r>
              <w:instrText xml:space="preserve">HYPERLINK "consultantplus://offline/ref=9292E15F0DF96464D01E3DBA785F734F032713EBA22A7C5249394D1C669BBDB439522D47BAD7EC357458B5AB76YAz9M"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ОКВЭД</w:t>
            </w:r>
            <w:r>
              <w:fldChar w:fldCharType="end"/>
            </w:r>
            <w:r>
              <w:rPr>
                <w:sz w:val="20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bookmarkStart w:id="0" w:name="P201"/>
            <w:bookmarkEnd w:id="0"/>
            <w:r>
              <w:rPr>
                <w:sz w:val="20"/>
              </w:rPr>
              <w:t>18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Значения показателей (индикаторов) достижения целей государственных программ автономного округа и (или) целей социально-экономической политики автономного округа, не относящихся к государственным программам автономного округа,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куратор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bookmarkStart w:id="1" w:name="P204"/>
            <w:bookmarkEnd w:id="1"/>
            <w:r>
              <w:rPr>
                <w:sz w:val="20"/>
              </w:rPr>
              <w:t>19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Прогнозные (оценочные) значения показателей (индикаторов) достижения целей государственных программ автономного округа и (или) целей социально-экономической политики автономного округа, не относящихся к государственным программам автономного округа,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куратор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2" w:type="dxa"/>
            <w:gridSpan w:val="3"/>
          </w:tcPr>
          <w:p>
            <w:pPr>
              <w:pStyle w:val="4"/>
              <w:outlineLvl w:val="2"/>
            </w:pPr>
            <w:r>
              <w:rPr>
                <w:sz w:val="20"/>
              </w:rPr>
              <w:t>III. Фискальные характеристики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bookmarkStart w:id="2" w:name="P208"/>
            <w:bookmarkEnd w:id="2"/>
            <w:r>
              <w:rPr>
                <w:sz w:val="20"/>
              </w:rPr>
              <w:t>20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района (поселений) за отчетный финансовый год и за год, предшествующий отчетному году (тыс. рублей)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налоговая инспекция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21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Оценка объема налоговых льгот, освобождений и иных преференций для плательщиков налогов, предоставленных (планируемых к предоставлению), в соответствии с нормативными правовыми актами органов местного самоуправления района (поселений)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уполномоченный орган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bookmarkStart w:id="3" w:name="P214"/>
            <w:bookmarkEnd w:id="3"/>
            <w:r>
              <w:rPr>
                <w:sz w:val="20"/>
              </w:rPr>
              <w:t>22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налоговая инспекция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23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Численность плательщиков налогов, воспользовавшихся правом на получение налоговых льгот, освобождений и иных преференций, установленных нормативными правовыми актами органов местного самоуправления района (поселений) в отчетном финансовом году (единиц)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налоговая инспекция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pStyle w:val="4"/>
            </w:pPr>
            <w:r>
              <w:rPr>
                <w:sz w:val="20"/>
              </w:rPr>
              <w:t>24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Базовый объем налогов, задекларированный для уплаты в бюджет района (поселений) плательщиками налогов, имеющими право на налоговые льготы, освобождения, иные преференции, установленные нормативными правовыми актами органов местного самоуправления района (поселений) (тыс. рублей)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налоговая инспекция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</w:tcPr>
          <w:p>
            <w:pPr>
              <w:pStyle w:val="4"/>
            </w:pPr>
            <w:bookmarkStart w:id="4" w:name="P223"/>
            <w:bookmarkEnd w:id="4"/>
            <w:r>
              <w:rPr>
                <w:sz w:val="20"/>
              </w:rPr>
              <w:t>25</w:t>
            </w:r>
          </w:p>
        </w:tc>
        <w:tc>
          <w:tcPr>
            <w:tcW w:w="6350" w:type="dxa"/>
          </w:tcPr>
          <w:p>
            <w:pPr>
              <w:pStyle w:val="4"/>
            </w:pPr>
            <w:r>
              <w:rPr>
                <w:sz w:val="20"/>
              </w:rPr>
              <w:t>Объем налогов, задекларированный для уплаты в бюджет района (поселений)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района (поселений), за 6 лет, предшествующих отчетному финансовому году (тыс. рублей)</w:t>
            </w:r>
          </w:p>
        </w:tc>
        <w:tc>
          <w:tcPr>
            <w:tcW w:w="2098" w:type="dxa"/>
          </w:tcPr>
          <w:p>
            <w:pPr>
              <w:pStyle w:val="4"/>
            </w:pPr>
            <w:r>
              <w:rPr>
                <w:sz w:val="20"/>
              </w:rPr>
              <w:t>налоговая инспекция</w:t>
            </w:r>
          </w:p>
        </w:tc>
      </w:tr>
    </w:tbl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432D"/>
    <w:rsid w:val="47C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5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6">
    <w:name w:val="ConsPlusTitle"/>
    <w:uiPriority w:val="0"/>
    <w:pPr>
      <w:widowControl w:val="0"/>
      <w:autoSpaceDE w:val="0"/>
      <w:autoSpaceDN w:val="0"/>
    </w:pPr>
    <w:rPr>
      <w:rFonts w:ascii="Calibri" w:hAnsi="Calibri" w:cs="Calibri"/>
      <w:b/>
      <w:sz w:val="20"/>
    </w:rPr>
  </w:style>
  <w:style w:type="paragraph" w:customStyle="1" w:styleId="7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8">
    <w:name w:val="ConsPlusDocList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9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10">
    <w:name w:val="ConsPlusJurTerm"/>
    <w:uiPriority w:val="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4020.00.61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1899-12-29T19:00:00Z</dcterms:created>
  <dc:creator>OrlovaON</dc:creator>
  <cp:lastModifiedBy>OrlovaON</cp:lastModifiedBy>
  <dcterms:modified xsi:type="dcterms:W3CDTF">2021-09-02T12:52:28Z</dcterms:modified>
  <dc:title>Постановление Администрации Белоярского района от 20.08.2020 N 738
(ред. от 08.06.2021)
"Об утверждении Порядка оценки налоговых расходов Белоярского района и поселений в границах Белоярского района"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